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1BEC" w:rsidTr="006B1BEC">
        <w:tc>
          <w:tcPr>
            <w:tcW w:w="9016" w:type="dxa"/>
          </w:tcPr>
          <w:p w:rsidR="006B1BEC" w:rsidRPr="00A72DBC" w:rsidRDefault="006B1BEC" w:rsidP="006B1BE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72DBC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Anticipated Disbursements</w:t>
            </w:r>
            <w:r w:rsidRPr="00A72DBC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 / Entering Anticipated Disbursements</w:t>
            </w:r>
          </w:p>
          <w:p w:rsidR="006B1BEC" w:rsidRPr="00945C27" w:rsidRDefault="006B1BEC" w:rsidP="006B1BEC">
            <w:pPr>
              <w:rPr>
                <w:rFonts w:ascii="Arial" w:hAnsi="Arial" w:cs="Arial"/>
              </w:rPr>
            </w:pPr>
          </w:p>
          <w:p w:rsidR="006B1BEC" w:rsidRPr="00945C27" w:rsidRDefault="006B1BEC" w:rsidP="006B1BEC">
            <w:pPr>
              <w:rPr>
                <w:rFonts w:ascii="Arial" w:hAnsi="Arial" w:cs="Arial"/>
              </w:rPr>
            </w:pPr>
            <w:r w:rsidRPr="00945C27">
              <w:rPr>
                <w:rFonts w:ascii="Arial" w:hAnsi="Arial" w:cs="Arial"/>
              </w:rPr>
              <w:t xml:space="preserve">Anticipated Disbursements are payments that </w:t>
            </w:r>
            <w:proofErr w:type="gramStart"/>
            <w:r w:rsidRPr="00945C27">
              <w:rPr>
                <w:rFonts w:ascii="Arial" w:hAnsi="Arial" w:cs="Arial"/>
              </w:rPr>
              <w:t>may be incurred</w:t>
            </w:r>
            <w:proofErr w:type="gramEnd"/>
            <w:r w:rsidRPr="00945C27">
              <w:rPr>
                <w:rFonts w:ascii="Arial" w:hAnsi="Arial" w:cs="Arial"/>
              </w:rPr>
              <w:t xml:space="preserve"> during the course of the matter or an invoice to an outside party that you have yet to pay.</w:t>
            </w:r>
          </w:p>
          <w:p w:rsidR="006B1BEC" w:rsidRPr="00945C27" w:rsidRDefault="006B1BEC" w:rsidP="006B1BEC">
            <w:pPr>
              <w:rPr>
                <w:rFonts w:ascii="Arial" w:hAnsi="Arial" w:cs="Arial"/>
              </w:rPr>
            </w:pPr>
          </w:p>
          <w:p w:rsidR="006B1BEC" w:rsidRPr="00945C27" w:rsidRDefault="006B1BEC" w:rsidP="006B1BEC">
            <w:pPr>
              <w:rPr>
                <w:rFonts w:ascii="Arial" w:hAnsi="Arial" w:cs="Arial"/>
              </w:rPr>
            </w:pPr>
            <w:r w:rsidRPr="00945C27">
              <w:rPr>
                <w:rFonts w:ascii="Arial" w:hAnsi="Arial" w:cs="Arial"/>
              </w:rPr>
              <w:t>Anticipated Disbursements can be entered two different ways:</w:t>
            </w:r>
          </w:p>
          <w:p w:rsidR="006B1BEC" w:rsidRPr="00945C27" w:rsidRDefault="006B1BEC" w:rsidP="006B1B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45C27">
              <w:rPr>
                <w:rFonts w:ascii="Arial" w:hAnsi="Arial" w:cs="Arial"/>
              </w:rPr>
              <w:t>Input Payment Voucher</w:t>
            </w:r>
          </w:p>
          <w:p w:rsidR="006B1BEC" w:rsidRPr="00945C27" w:rsidRDefault="006B1BEC" w:rsidP="006B1B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45C27">
              <w:rPr>
                <w:rFonts w:ascii="Arial" w:hAnsi="Arial" w:cs="Arial"/>
              </w:rPr>
              <w:t>Cost Journal Input</w:t>
            </w:r>
          </w:p>
          <w:p w:rsidR="006B1BEC" w:rsidRPr="00945C27" w:rsidRDefault="006B1BEC" w:rsidP="006B1BEC">
            <w:pPr>
              <w:rPr>
                <w:rFonts w:ascii="Arial" w:hAnsi="Arial" w:cs="Arial"/>
              </w:rPr>
            </w:pPr>
          </w:p>
          <w:p w:rsidR="006B1BEC" w:rsidRPr="00945C27" w:rsidRDefault="006B1BEC" w:rsidP="006B1BEC">
            <w:pPr>
              <w:rPr>
                <w:rFonts w:ascii="Arial" w:hAnsi="Arial" w:cs="Arial"/>
              </w:rPr>
            </w:pPr>
            <w:r w:rsidRPr="00945C27">
              <w:rPr>
                <w:rFonts w:ascii="Arial" w:hAnsi="Arial" w:cs="Arial"/>
              </w:rPr>
              <w:t xml:space="preserve">In both cases, LawMaster will identify the disbursement as unpaid and will prevent you from Trust Transferring or receipting funds to the General Account until the disbursement </w:t>
            </w:r>
            <w:proofErr w:type="gramStart"/>
            <w:r w:rsidRPr="00945C27">
              <w:rPr>
                <w:rFonts w:ascii="Arial" w:hAnsi="Arial" w:cs="Arial"/>
              </w:rPr>
              <w:t>has been paid</w:t>
            </w:r>
            <w:proofErr w:type="gramEnd"/>
            <w:r w:rsidRPr="00945C27">
              <w:rPr>
                <w:rFonts w:ascii="Arial" w:hAnsi="Arial" w:cs="Arial"/>
              </w:rPr>
              <w:t>.</w:t>
            </w:r>
          </w:p>
          <w:p w:rsidR="006B1BEC" w:rsidRPr="00945C27" w:rsidRDefault="006B1BEC" w:rsidP="006B1BEC">
            <w:pPr>
              <w:rPr>
                <w:rFonts w:ascii="Arial" w:hAnsi="Arial" w:cs="Arial"/>
              </w:rPr>
            </w:pPr>
          </w:p>
          <w:p w:rsidR="006B1BEC" w:rsidRPr="0046337B" w:rsidRDefault="006B1BEC" w:rsidP="006B1BEC">
            <w:pPr>
              <w:rPr>
                <w:rFonts w:ascii="Arial" w:hAnsi="Arial" w:cs="Arial"/>
                <w:b/>
              </w:rPr>
            </w:pPr>
            <w:r w:rsidRPr="0046337B">
              <w:rPr>
                <w:rFonts w:ascii="Arial" w:hAnsi="Arial" w:cs="Arial"/>
                <w:b/>
              </w:rPr>
              <w:t>Input Payment Voucher</w:t>
            </w:r>
          </w:p>
          <w:p w:rsidR="006B1BEC" w:rsidRPr="00945C27" w:rsidRDefault="006B1BEC" w:rsidP="006B1BEC">
            <w:pPr>
              <w:rPr>
                <w:rFonts w:ascii="Arial" w:hAnsi="Arial" w:cs="Arial"/>
              </w:rPr>
            </w:pPr>
            <w:r w:rsidRPr="00945C27">
              <w:rPr>
                <w:rFonts w:ascii="Arial" w:hAnsi="Arial" w:cs="Arial"/>
              </w:rPr>
              <w:t xml:space="preserve">When a voucher </w:t>
            </w:r>
            <w:proofErr w:type="gramStart"/>
            <w:r w:rsidRPr="00945C27">
              <w:rPr>
                <w:rFonts w:ascii="Arial" w:hAnsi="Arial" w:cs="Arial"/>
              </w:rPr>
              <w:t>is entered</w:t>
            </w:r>
            <w:proofErr w:type="gramEnd"/>
            <w:r w:rsidRPr="00945C27">
              <w:rPr>
                <w:rFonts w:ascii="Arial" w:hAnsi="Arial" w:cs="Arial"/>
              </w:rPr>
              <w:t xml:space="preserve"> into LawMaster, there is the option to set the payment date to in the future.  Your firm can select a date in the future, or put the payment on hold.  Either way, if it </w:t>
            </w:r>
            <w:proofErr w:type="gramStart"/>
            <w:r w:rsidRPr="00945C27">
              <w:rPr>
                <w:rFonts w:ascii="Arial" w:hAnsi="Arial" w:cs="Arial"/>
              </w:rPr>
              <w:t>is assigned</w:t>
            </w:r>
            <w:proofErr w:type="gramEnd"/>
            <w:r w:rsidRPr="00945C27">
              <w:rPr>
                <w:rFonts w:ascii="Arial" w:hAnsi="Arial" w:cs="Arial"/>
              </w:rPr>
              <w:t xml:space="preserve"> to a matter, it is unpaid until the payment is made and the cheque presented.</w:t>
            </w:r>
          </w:p>
          <w:p w:rsidR="006B1BEC" w:rsidRPr="00945C27" w:rsidRDefault="006B1BEC" w:rsidP="006B1BEC">
            <w:pPr>
              <w:rPr>
                <w:rFonts w:ascii="Arial" w:hAnsi="Arial" w:cs="Arial"/>
              </w:rPr>
            </w:pPr>
          </w:p>
          <w:p w:rsidR="006B1BEC" w:rsidRPr="00945C27" w:rsidRDefault="006B1BEC" w:rsidP="006B1BEC">
            <w:pPr>
              <w:rPr>
                <w:rFonts w:ascii="Arial" w:hAnsi="Arial" w:cs="Arial"/>
              </w:rPr>
            </w:pPr>
            <w:r w:rsidRPr="00945C27">
              <w:rPr>
                <w:rFonts w:ascii="Arial" w:hAnsi="Arial" w:cs="Arial"/>
              </w:rPr>
              <w:t>In the event that you need to reverse the disbursement, your Accounts team can cancel the unpaid voucher.</w:t>
            </w:r>
          </w:p>
          <w:p w:rsidR="006B1BEC" w:rsidRPr="00945C27" w:rsidRDefault="006B1BEC" w:rsidP="006B1BEC">
            <w:pPr>
              <w:rPr>
                <w:rFonts w:ascii="Arial" w:hAnsi="Arial" w:cs="Arial"/>
              </w:rPr>
            </w:pPr>
          </w:p>
          <w:p w:rsidR="006B1BEC" w:rsidRPr="0046337B" w:rsidRDefault="006B1BEC" w:rsidP="006B1BEC">
            <w:pPr>
              <w:rPr>
                <w:rFonts w:ascii="Arial" w:hAnsi="Arial" w:cs="Arial"/>
                <w:b/>
              </w:rPr>
            </w:pPr>
            <w:r w:rsidRPr="0046337B">
              <w:rPr>
                <w:rFonts w:ascii="Arial" w:hAnsi="Arial" w:cs="Arial"/>
                <w:b/>
              </w:rPr>
              <w:t>Cost Journal Input</w:t>
            </w:r>
          </w:p>
          <w:p w:rsidR="006B1BEC" w:rsidRPr="00945C27" w:rsidRDefault="006B1BEC" w:rsidP="006B1BEC">
            <w:pPr>
              <w:rPr>
                <w:rFonts w:ascii="Arial" w:hAnsi="Arial" w:cs="Arial"/>
              </w:rPr>
            </w:pPr>
            <w:r w:rsidRPr="00945C27">
              <w:rPr>
                <w:rFonts w:ascii="Arial" w:hAnsi="Arial" w:cs="Arial"/>
              </w:rPr>
              <w:t>To raise an Anticipated Disbursement, go to Transactions &gt; Cost Journal Input or within the matter &gt; Costs &gt; Input Cost Journal.</w:t>
            </w:r>
          </w:p>
          <w:p w:rsidR="006B1BEC" w:rsidRPr="00945C27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example below is an invoice received from George Smith for Barrister fees of $5,000.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 the Transaction Type: Disbursements and then select the Expense Type from the disbursement codes.  On the right of the screen, tick the box ‘Anticipated Disbursement?</w:t>
            </w:r>
            <w:proofErr w:type="gramStart"/>
            <w:r>
              <w:rPr>
                <w:rFonts w:ascii="Arial" w:hAnsi="Arial" w:cs="Arial"/>
              </w:rPr>
              <w:t>’.</w:t>
            </w:r>
            <w:proofErr w:type="gramEnd"/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Anticipated Disbursements </w:t>
            </w:r>
            <w:proofErr w:type="gramStart"/>
            <w:r>
              <w:rPr>
                <w:rFonts w:ascii="Arial" w:hAnsi="Arial" w:cs="Arial"/>
              </w:rPr>
              <w:t>is selected</w:t>
            </w:r>
            <w:proofErr w:type="gramEnd"/>
            <w:r>
              <w:rPr>
                <w:rFonts w:ascii="Arial" w:hAnsi="Arial" w:cs="Arial"/>
              </w:rPr>
              <w:t xml:space="preserve">, the Supplier field becomes available so that you can select the entity with whom you received the invoice.  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Reference Number field, you can enter the invoice number, although this is not a mandatory field.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Narrative, enter the details of the invoice, then enter the total in the ‘Amount’ field and then select [Add Transaction].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lastRenderedPageBreak/>
              <w:drawing>
                <wp:inline distT="0" distB="0" distL="0" distR="0" wp14:anchorId="3D30A49F" wp14:editId="0E282E46">
                  <wp:extent cx="5229225" cy="4208408"/>
                  <wp:effectExtent l="19050" t="19050" r="9525" b="209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4675" cy="421279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Costs Transactions, the disbursement will appear as a transaction and the word ‘Yes’ will be in the column ‘Anticipated/Held Cost’.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683E3FC" wp14:editId="7CCE08FE">
                  <wp:extent cx="5334000" cy="381000"/>
                  <wp:effectExtent l="19050" t="19050" r="19050" b="190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0" cy="381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945C27">
            <w:pPr>
              <w:rPr>
                <w:rFonts w:ascii="Arial" w:hAnsi="Arial" w:cs="Arial"/>
                <w:b/>
              </w:rPr>
            </w:pPr>
          </w:p>
        </w:tc>
      </w:tr>
      <w:tr w:rsidR="006B1BEC" w:rsidTr="006B1BEC">
        <w:tc>
          <w:tcPr>
            <w:tcW w:w="9016" w:type="dxa"/>
          </w:tcPr>
          <w:p w:rsidR="006B1BEC" w:rsidRPr="00A72DBC" w:rsidRDefault="006B1BEC" w:rsidP="006B1BE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72DBC">
              <w:rPr>
                <w:rFonts w:ascii="Arial" w:hAnsi="Arial" w:cs="Arial"/>
                <w:b/>
                <w:sz w:val="28"/>
                <w:szCs w:val="28"/>
                <w:highlight w:val="yellow"/>
              </w:rPr>
              <w:lastRenderedPageBreak/>
              <w:t>Billing an Anticipated Disbursement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it comes time to bill this matter, you can bill it as normal and LawMaster will track the Anticipated Disbursement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B204007" wp14:editId="5F452DB9">
                  <wp:extent cx="3143250" cy="419100"/>
                  <wp:effectExtent l="19050" t="19050" r="19050" b="190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419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BEC" w:rsidRDefault="006B1BEC" w:rsidP="00945C27">
            <w:pPr>
              <w:rPr>
                <w:rFonts w:ascii="Arial" w:hAnsi="Arial" w:cs="Arial"/>
                <w:b/>
              </w:rPr>
            </w:pPr>
          </w:p>
        </w:tc>
      </w:tr>
      <w:tr w:rsidR="006B1BEC" w:rsidTr="006B1BEC">
        <w:tc>
          <w:tcPr>
            <w:tcW w:w="9016" w:type="dxa"/>
          </w:tcPr>
          <w:p w:rsidR="006B1BEC" w:rsidRPr="00A72DBC" w:rsidRDefault="006B1BEC" w:rsidP="006B1BE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72DBC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Receipting funds where an Anticipated Disbursement is on the matter.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allocating a receipt to a matter that has an anticipated disbursement, on the allocation screen, [Unpaid Disbursement] will come into focus in to lower left corner, allowing you to review and pay the disbursement.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attempt to receipt to the General Account, LawMaster will prevent you with the following message: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lastRenderedPageBreak/>
              <w:drawing>
                <wp:inline distT="0" distB="0" distL="0" distR="0" wp14:anchorId="2A67AB4C" wp14:editId="66235E2B">
                  <wp:extent cx="3790950" cy="1447800"/>
                  <wp:effectExtent l="19050" t="19050" r="19050" b="190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0" cy="1447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BEC" w:rsidRDefault="006B1BEC" w:rsidP="00945C27">
            <w:pPr>
              <w:rPr>
                <w:rFonts w:ascii="Arial" w:hAnsi="Arial" w:cs="Arial"/>
                <w:b/>
              </w:rPr>
            </w:pPr>
          </w:p>
        </w:tc>
      </w:tr>
      <w:tr w:rsidR="006B1BEC" w:rsidTr="006B1BEC">
        <w:tc>
          <w:tcPr>
            <w:tcW w:w="9016" w:type="dxa"/>
          </w:tcPr>
          <w:p w:rsidR="006B1BEC" w:rsidRPr="00A72DBC" w:rsidRDefault="006B1BEC" w:rsidP="006B1BE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72DBC">
              <w:rPr>
                <w:rFonts w:ascii="Arial" w:hAnsi="Arial" w:cs="Arial"/>
                <w:b/>
                <w:sz w:val="28"/>
                <w:szCs w:val="28"/>
                <w:highlight w:val="yellow"/>
              </w:rPr>
              <w:lastRenderedPageBreak/>
              <w:t>Paying an Anticipated Disbursement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  <w:r w:rsidRPr="00671E89">
              <w:rPr>
                <w:rFonts w:ascii="Arial" w:hAnsi="Arial" w:cs="Arial"/>
              </w:rPr>
              <w:t>There a</w:t>
            </w:r>
            <w:r>
              <w:rPr>
                <w:rFonts w:ascii="Arial" w:hAnsi="Arial" w:cs="Arial"/>
              </w:rPr>
              <w:t>re two ways to pay an anticipated disbursement, via Input Payment Voucher or via the Costs screen.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important to note:</w:t>
            </w:r>
          </w:p>
          <w:p w:rsidR="006B1BEC" w:rsidRPr="00671E89" w:rsidRDefault="006B1BEC" w:rsidP="006B1B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71E89">
              <w:rPr>
                <w:rFonts w:ascii="Arial" w:hAnsi="Arial" w:cs="Arial"/>
              </w:rPr>
              <w:t xml:space="preserve">If the payment </w:t>
            </w:r>
            <w:proofErr w:type="gramStart"/>
            <w:r w:rsidRPr="00671E89">
              <w:rPr>
                <w:rFonts w:ascii="Arial" w:hAnsi="Arial" w:cs="Arial"/>
              </w:rPr>
              <w:t>is made</w:t>
            </w:r>
            <w:proofErr w:type="gramEnd"/>
            <w:r w:rsidRPr="00671E89">
              <w:rPr>
                <w:rFonts w:ascii="Arial" w:hAnsi="Arial" w:cs="Arial"/>
              </w:rPr>
              <w:t xml:space="preserve"> from the General Account, the disbursement will become an unpaid disbursement in Debtors, until the cheque/EFT payment is reconciled in the bank account.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Pr="00671E89" w:rsidRDefault="006B1BEC" w:rsidP="006B1B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71E89">
              <w:rPr>
                <w:rFonts w:ascii="Arial" w:hAnsi="Arial" w:cs="Arial"/>
              </w:rPr>
              <w:t xml:space="preserve">If the payment </w:t>
            </w:r>
            <w:proofErr w:type="gramStart"/>
            <w:r w:rsidRPr="00671E89">
              <w:rPr>
                <w:rFonts w:ascii="Arial" w:hAnsi="Arial" w:cs="Arial"/>
              </w:rPr>
              <w:t>is made</w:t>
            </w:r>
            <w:proofErr w:type="gramEnd"/>
            <w:r w:rsidRPr="00671E89">
              <w:rPr>
                <w:rFonts w:ascii="Arial" w:hAnsi="Arial" w:cs="Arial"/>
              </w:rPr>
              <w:t xml:space="preserve"> from the Trust Account, the Debtor balance will be reduced from the amount owing by the client.</w:t>
            </w:r>
          </w:p>
          <w:p w:rsidR="006B1BEC" w:rsidRDefault="006B1BEC" w:rsidP="00945C27">
            <w:pPr>
              <w:rPr>
                <w:rFonts w:ascii="Arial" w:hAnsi="Arial" w:cs="Arial"/>
                <w:b/>
              </w:rPr>
            </w:pPr>
          </w:p>
          <w:p w:rsidR="006B1BEC" w:rsidRDefault="006B1BEC" w:rsidP="006B1B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Paying an Anticipated Disbursement – Input Payment Voucher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processing a payment from the Trust or General Account, LawMaster will recognise </w:t>
            </w:r>
            <w:proofErr w:type="gramStart"/>
            <w:r>
              <w:rPr>
                <w:rFonts w:ascii="Arial" w:hAnsi="Arial" w:cs="Arial"/>
              </w:rPr>
              <w:t>that</w:t>
            </w:r>
            <w:proofErr w:type="gramEnd"/>
            <w:r>
              <w:rPr>
                <w:rFonts w:ascii="Arial" w:hAnsi="Arial" w:cs="Arial"/>
              </w:rPr>
              <w:t xml:space="preserve"> the matter has anticipated disbursement on it and will prompt you to review the disbursements and link it to the anticipated disbursement.  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this payment </w:t>
            </w:r>
            <w:proofErr w:type="gramStart"/>
            <w:r>
              <w:rPr>
                <w:rFonts w:ascii="Arial" w:hAnsi="Arial" w:cs="Arial"/>
              </w:rPr>
              <w:t>is linked</w:t>
            </w:r>
            <w:proofErr w:type="gramEnd"/>
            <w:r>
              <w:rPr>
                <w:rFonts w:ascii="Arial" w:hAnsi="Arial" w:cs="Arial"/>
              </w:rPr>
              <w:t xml:space="preserve"> to the anticipated disbursement, select the transaction and press [OK].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B626F10" wp14:editId="2A4B7DE6">
                  <wp:extent cx="2305050" cy="1447800"/>
                  <wp:effectExtent l="19050" t="19050" r="19050" b="190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447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D29A62A" wp14:editId="31D86948">
                  <wp:extent cx="5324475" cy="1284811"/>
                  <wp:effectExtent l="19050" t="19050" r="9525" b="1079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34" cy="129184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BEC" w:rsidRDefault="006B1BEC" w:rsidP="00945C27">
            <w:pPr>
              <w:rPr>
                <w:rFonts w:ascii="Arial" w:hAnsi="Arial" w:cs="Arial"/>
                <w:b/>
              </w:rPr>
            </w:pPr>
          </w:p>
          <w:p w:rsidR="006B1BEC" w:rsidRDefault="006B1BEC" w:rsidP="006B1B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Paying an Anticipated Disbursement – Costs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Costs screen, change the Search: field to ‘Anticipated Costs and Cash’ to find the transaction. 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Right click on the transaction and select ‘Pay transaction’.  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lastRenderedPageBreak/>
              <w:drawing>
                <wp:inline distT="0" distB="0" distL="0" distR="0" wp14:anchorId="4B0AE1EB" wp14:editId="7B89DC71">
                  <wp:extent cx="1857117" cy="1247140"/>
                  <wp:effectExtent l="19050" t="19050" r="10160" b="1016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1500" t="48193" r="81765" b="38538"/>
                          <a:stretch/>
                        </pic:blipFill>
                        <pic:spPr bwMode="auto">
                          <a:xfrm>
                            <a:off x="0" y="0"/>
                            <a:ext cx="1861577" cy="12501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‘Pay Anticipated Disbursements’ screen will allow you to select the bank, method of payment and over-ride the amount to be paid.  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2DAE6B7" wp14:editId="52D1EA7F">
                  <wp:extent cx="4972050" cy="3382823"/>
                  <wp:effectExtent l="19050" t="19050" r="19050" b="273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9223" cy="338770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full amount of the Anticipated Disbursement </w:t>
            </w:r>
            <w:proofErr w:type="gramStart"/>
            <w:r>
              <w:rPr>
                <w:rFonts w:ascii="Arial" w:hAnsi="Arial" w:cs="Arial"/>
              </w:rPr>
              <w:t>is not being paid</w:t>
            </w:r>
            <w:proofErr w:type="gramEnd"/>
            <w:r>
              <w:rPr>
                <w:rFonts w:ascii="Arial" w:hAnsi="Arial" w:cs="Arial"/>
              </w:rPr>
              <w:t>, LawMaster will write off the balance of the anticipated disbursement, unless the difference is entered into the ‘Reduce To’ field.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lastRenderedPageBreak/>
              <w:drawing>
                <wp:inline distT="0" distB="0" distL="0" distR="0" wp14:anchorId="5A1DF941" wp14:editId="4AF01AC3">
                  <wp:extent cx="4943475" cy="3363381"/>
                  <wp:effectExtent l="19050" t="19050" r="9525" b="279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6108" cy="337197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Pr="0046337B" w:rsidRDefault="006B1BEC" w:rsidP="006B1B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 Pay an Anticipated Disbursement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full amount of the Anticipated Disbursement </w:t>
            </w:r>
            <w:proofErr w:type="gramStart"/>
            <w:r>
              <w:rPr>
                <w:rFonts w:ascii="Arial" w:hAnsi="Arial" w:cs="Arial"/>
              </w:rPr>
              <w:t>is not being paid</w:t>
            </w:r>
            <w:proofErr w:type="gramEnd"/>
            <w:r>
              <w:rPr>
                <w:rFonts w:ascii="Arial" w:hAnsi="Arial" w:cs="Arial"/>
              </w:rPr>
              <w:t xml:space="preserve"> at this point, you can advise LawMaster of the balance to remain on the invoice.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paying the anticipated disbursement via Cost &gt; Pay Transaction, enter the amount of the Costs and then enter the balance to remain on the ledger in the ‘Reduce To’ field.</w:t>
            </w:r>
            <w:r>
              <w:rPr>
                <w:noProof/>
                <w:lang w:eastAsia="en-AU"/>
              </w:rPr>
              <w:drawing>
                <wp:inline distT="0" distB="0" distL="0" distR="0" wp14:anchorId="783F971C" wp14:editId="3A94F912">
                  <wp:extent cx="4924425" cy="3350421"/>
                  <wp:effectExtent l="19050" t="19050" r="9525" b="215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5642" cy="33580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part pay the anticipated disbursement via the Input Payment Voucher method, LawMaster will automatically calculate the difference and record this in the Reduce To field on the allocations screen.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lastRenderedPageBreak/>
              <w:drawing>
                <wp:inline distT="0" distB="0" distL="0" distR="0" wp14:anchorId="0023F099" wp14:editId="7DD1D4E0">
                  <wp:extent cx="4914900" cy="3746890"/>
                  <wp:effectExtent l="19050" t="19050" r="19050" b="2540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170" cy="37531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BEC" w:rsidRDefault="006B1BEC" w:rsidP="00945C27">
            <w:pPr>
              <w:rPr>
                <w:rFonts w:ascii="Arial" w:hAnsi="Arial" w:cs="Arial"/>
                <w:b/>
              </w:rPr>
            </w:pPr>
          </w:p>
        </w:tc>
      </w:tr>
      <w:tr w:rsidR="006B1BEC" w:rsidTr="006B1BEC">
        <w:tc>
          <w:tcPr>
            <w:tcW w:w="9016" w:type="dxa"/>
          </w:tcPr>
          <w:p w:rsidR="006B1BEC" w:rsidRPr="00A72DBC" w:rsidRDefault="006B1BEC" w:rsidP="006B1BE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72DBC">
              <w:rPr>
                <w:rFonts w:ascii="Arial" w:hAnsi="Arial" w:cs="Arial"/>
                <w:b/>
                <w:sz w:val="28"/>
                <w:szCs w:val="28"/>
                <w:highlight w:val="yellow"/>
              </w:rPr>
              <w:lastRenderedPageBreak/>
              <w:t>Reversing an Anticipated Disbursement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an anticipated disbursement is to be reversed, go to the Costs screen and right click on the Anticipated Disbursement and select ‘Reduce To’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BE53841" wp14:editId="43ABD6BA">
                  <wp:extent cx="1685290" cy="1647825"/>
                  <wp:effectExtent l="19050" t="19050" r="10160" b="285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22512" t="44044" r="70585" b="36156"/>
                          <a:stretch/>
                        </pic:blipFill>
                        <pic:spPr bwMode="auto">
                          <a:xfrm>
                            <a:off x="0" y="0"/>
                            <a:ext cx="1690420" cy="165284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will allow you to select the amount you are reducing the anticipated disbursement to or write it off to $0.00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259717E" wp14:editId="2C63B309">
                  <wp:extent cx="2695575" cy="1371600"/>
                  <wp:effectExtent l="19050" t="19050" r="28575" b="190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LawMaster will adjust the disbursement and Debtor Balance, if the anticipated disbursement </w:t>
            </w:r>
            <w:proofErr w:type="gramStart"/>
            <w:r>
              <w:rPr>
                <w:rFonts w:ascii="Arial" w:hAnsi="Arial" w:cs="Arial"/>
              </w:rPr>
              <w:t>has been paid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:rsidR="006B1BEC" w:rsidRDefault="006B1BEC" w:rsidP="00945C27">
            <w:pPr>
              <w:rPr>
                <w:rFonts w:ascii="Arial" w:hAnsi="Arial" w:cs="Arial"/>
                <w:b/>
              </w:rPr>
            </w:pPr>
          </w:p>
          <w:p w:rsidR="006B1BEC" w:rsidRDefault="006B1BEC" w:rsidP="006B1BEC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Forgot to link a payment to an anticipated disbursement?</w:t>
            </w:r>
            <w:proofErr w:type="gramEnd"/>
          </w:p>
          <w:p w:rsidR="006B1BEC" w:rsidRDefault="006B1BEC" w:rsidP="006B1BEC">
            <w:pPr>
              <w:rPr>
                <w:rFonts w:ascii="Arial" w:hAnsi="Arial" w:cs="Arial"/>
              </w:rPr>
            </w:pPr>
            <w:r w:rsidRPr="00297042">
              <w:rPr>
                <w:rFonts w:ascii="Arial" w:hAnsi="Arial" w:cs="Arial"/>
              </w:rPr>
              <w:t>If you f</w:t>
            </w:r>
            <w:r>
              <w:rPr>
                <w:rFonts w:ascii="Arial" w:hAnsi="Arial" w:cs="Arial"/>
              </w:rPr>
              <w:t>orget to link a payment to an anticipated disbursement, you will need to reverse the disbursement using the ‘Reduce To’ method.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payment </w:t>
            </w:r>
            <w:proofErr w:type="gramStart"/>
            <w:r>
              <w:rPr>
                <w:rFonts w:ascii="Arial" w:hAnsi="Arial" w:cs="Arial"/>
              </w:rPr>
              <w:t>was made</w:t>
            </w:r>
            <w:proofErr w:type="gramEnd"/>
            <w:r>
              <w:rPr>
                <w:rFonts w:ascii="Arial" w:hAnsi="Arial" w:cs="Arial"/>
              </w:rPr>
              <w:t xml:space="preserve"> through the General Account, you should bill this transaction and link the transaction to the existing bill.</w:t>
            </w:r>
          </w:p>
          <w:p w:rsidR="006B1BEC" w:rsidRDefault="006B1BEC" w:rsidP="00945C27">
            <w:pPr>
              <w:rPr>
                <w:rFonts w:ascii="Arial" w:hAnsi="Arial" w:cs="Arial"/>
                <w:b/>
              </w:rPr>
            </w:pPr>
          </w:p>
        </w:tc>
      </w:tr>
      <w:tr w:rsidR="006B1BEC" w:rsidTr="006B1BEC">
        <w:tc>
          <w:tcPr>
            <w:tcW w:w="9016" w:type="dxa"/>
          </w:tcPr>
          <w:p w:rsidR="006B1BEC" w:rsidRPr="00A72DBC" w:rsidRDefault="00A72DBC" w:rsidP="006B1BE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highlight w:val="yellow"/>
              </w:rPr>
              <w:lastRenderedPageBreak/>
              <w:t>Reporting on Anticipated Disbursements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see a list of Anticipated Disbursements in LawMaster, go to Main Menu &gt; Accounting &gt; Enquiry &gt; Anticipated Disbursements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D1ED128" wp14:editId="324AD64E">
                  <wp:extent cx="5562600" cy="2160083"/>
                  <wp:effectExtent l="19050" t="19050" r="19050" b="1206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225" cy="21622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see a list of matters that have a Trust Balance and Anticipated Disbursements, go to Main Menu &gt; Accounting &gt; Trust Accounting &gt; Trust &gt; List Possible Creditor Payments</w:t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C0C41F4" wp14:editId="7D4B22C0">
                  <wp:extent cx="3609975" cy="2024285"/>
                  <wp:effectExtent l="19050" t="19050" r="9525" b="1460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392" cy="20295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BEC" w:rsidRDefault="006B1BEC" w:rsidP="006B1BEC">
            <w:pPr>
              <w:rPr>
                <w:rFonts w:ascii="Arial" w:hAnsi="Arial" w:cs="Arial"/>
              </w:rPr>
            </w:pPr>
          </w:p>
          <w:p w:rsidR="006B1BEC" w:rsidRPr="006B1BEC" w:rsidRDefault="006B1BEC" w:rsidP="006B1BEC">
            <w:pPr>
              <w:rPr>
                <w:rFonts w:ascii="Arial" w:hAnsi="Arial" w:cs="Arial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6811C5B" wp14:editId="6229AB98">
                  <wp:extent cx="5534025" cy="1111587"/>
                  <wp:effectExtent l="19050" t="19050" r="9525" b="1270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995" cy="111660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5C27" w:rsidRDefault="00945C27" w:rsidP="00945C27">
      <w:pPr>
        <w:spacing w:after="0" w:line="240" w:lineRule="auto"/>
      </w:pPr>
      <w:bookmarkStart w:id="0" w:name="_GoBack"/>
      <w:bookmarkEnd w:id="0"/>
    </w:p>
    <w:sectPr w:rsidR="00945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55DE4"/>
    <w:multiLevelType w:val="hybridMultilevel"/>
    <w:tmpl w:val="4D1810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64C4A"/>
    <w:multiLevelType w:val="hybridMultilevel"/>
    <w:tmpl w:val="D2C212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27"/>
    <w:rsid w:val="000F7E8A"/>
    <w:rsid w:val="00297042"/>
    <w:rsid w:val="002C0891"/>
    <w:rsid w:val="00305ED0"/>
    <w:rsid w:val="0046337B"/>
    <w:rsid w:val="0057291A"/>
    <w:rsid w:val="00671E89"/>
    <w:rsid w:val="006B1BEC"/>
    <w:rsid w:val="006B71C7"/>
    <w:rsid w:val="00945C27"/>
    <w:rsid w:val="00A72DBC"/>
    <w:rsid w:val="00AB7710"/>
    <w:rsid w:val="00C57177"/>
    <w:rsid w:val="00CE165D"/>
    <w:rsid w:val="00D3667E"/>
    <w:rsid w:val="00E7740C"/>
    <w:rsid w:val="00E9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FF4C"/>
  <w15:chartTrackingRefBased/>
  <w15:docId w15:val="{E6A2427F-A957-4CF7-BCE1-716A618F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C27"/>
    <w:pPr>
      <w:ind w:left="720"/>
      <w:contextualSpacing/>
    </w:pPr>
  </w:style>
  <w:style w:type="table" w:styleId="TableGrid">
    <w:name w:val="Table Grid"/>
    <w:basedOn w:val="TableNormal"/>
    <w:uiPriority w:val="39"/>
    <w:rsid w:val="006B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Morrison</dc:creator>
  <cp:keywords/>
  <dc:description/>
  <cp:lastModifiedBy>Michelle Morrison</cp:lastModifiedBy>
  <cp:revision>6</cp:revision>
  <dcterms:created xsi:type="dcterms:W3CDTF">2019-10-27T23:04:00Z</dcterms:created>
  <dcterms:modified xsi:type="dcterms:W3CDTF">2019-10-27T23:10:00Z</dcterms:modified>
</cp:coreProperties>
</file>